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EF" w:rsidRDefault="00D068EF" w:rsidP="00D06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                                                                                  от «</w:t>
      </w:r>
      <w:r w:rsidR="00D003E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2021г. </w:t>
      </w:r>
    </w:p>
    <w:p w:rsidR="00D068EF" w:rsidRDefault="00D068EF" w:rsidP="00D06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8EF" w:rsidRDefault="00D068EF" w:rsidP="00D06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деятельности комитета  </w:t>
      </w:r>
    </w:p>
    <w:p w:rsidR="00D068EF" w:rsidRDefault="00D068EF" w:rsidP="00D068E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культуре, спорту и молодежной политике за </w:t>
      </w:r>
      <w:r>
        <w:rPr>
          <w:rFonts w:ascii="Times New Roman" w:hAnsi="Times New Roman"/>
          <w:color w:val="333333"/>
          <w:sz w:val="28"/>
          <w:szCs w:val="28"/>
        </w:rPr>
        <w:t>период работ</w:t>
      </w:r>
    </w:p>
    <w:p w:rsidR="00D068EF" w:rsidRDefault="00D068EF" w:rsidP="00D068E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с октября 2020</w:t>
      </w:r>
      <w:r w:rsidR="00D003E2">
        <w:rPr>
          <w:rFonts w:ascii="Times New Roman" w:hAnsi="Times New Roman"/>
          <w:color w:val="333333"/>
          <w:sz w:val="28"/>
          <w:szCs w:val="28"/>
        </w:rPr>
        <w:t xml:space="preserve"> года по октябрь 2021 года</w:t>
      </w:r>
    </w:p>
    <w:p w:rsidR="00D068EF" w:rsidRDefault="00D068EF" w:rsidP="00D068E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068EF" w:rsidRPr="00D068EF" w:rsidRDefault="00D068EF" w:rsidP="00D068EF">
      <w:pPr>
        <w:pStyle w:val="a3"/>
        <w:spacing w:after="0" w:line="240" w:lineRule="auto"/>
        <w:ind w:left="1800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lang w:val="en-US"/>
        </w:rPr>
        <w:t>I</w:t>
      </w:r>
      <w:r w:rsidRPr="00D068EF">
        <w:rPr>
          <w:rFonts w:ascii="Times New Roman" w:hAnsi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/>
          <w:b/>
          <w:color w:val="333333"/>
          <w:sz w:val="28"/>
          <w:szCs w:val="28"/>
        </w:rPr>
        <w:t>Общее</w:t>
      </w:r>
    </w:p>
    <w:p w:rsidR="00D068EF" w:rsidRDefault="00D068EF" w:rsidP="00D06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Комитет был образован Постановлением Хурала представителей г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ызыла от</w:t>
      </w:r>
      <w:r>
        <w:rPr>
          <w:rFonts w:ascii="Times New Roman" w:hAnsi="Times New Roman"/>
          <w:color w:val="000000" w:themeColor="text1"/>
          <w:sz w:val="28"/>
          <w:szCs w:val="28"/>
        </w:rPr>
        <w:t>28 сентября 2018 года №3 «Об утверждении структуры Хурала представителей г.Кызыла» и осуществлял свою деятельность в соответствии с Положением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 утверждении Положений о комитетах Хурала представителей г.Кызыла» от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28 сентября 2018 года № 5, основываясь на плане работы Хурала представителей г.Кызыла (далее Хурал), предложениях Главы города Кызыла, других комитетов Хурала, депутатов.</w:t>
      </w:r>
      <w:r>
        <w:rPr>
          <w:rFonts w:ascii="Times New Roman" w:hAnsi="Times New Roman"/>
          <w:sz w:val="28"/>
          <w:szCs w:val="28"/>
        </w:rPr>
        <w:t xml:space="preserve"> К основным вопросам ведения Комитета относятся вопросы местного значения города Кызыла, установленные Федеральным законом от 06.10.2003г. №131-ФЗ «Об общих принципах организации местного самоуправления в РФ».  </w:t>
      </w:r>
    </w:p>
    <w:p w:rsidR="00D068EF" w:rsidRDefault="00D068EF" w:rsidP="00D06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и персональный состав комитета был утвержден </w:t>
      </w:r>
      <w:r>
        <w:rPr>
          <w:rFonts w:ascii="Times New Roman" w:hAnsi="Times New Roman"/>
          <w:color w:val="333333"/>
          <w:sz w:val="28"/>
          <w:szCs w:val="28"/>
        </w:rPr>
        <w:t xml:space="preserve">Постановлением Хурала представителей города Кызыла от </w:t>
      </w:r>
      <w:r>
        <w:rPr>
          <w:rFonts w:ascii="Times New Roman" w:hAnsi="Times New Roman"/>
          <w:sz w:val="28"/>
          <w:szCs w:val="28"/>
        </w:rPr>
        <w:t>28 сентября 2018 года   № 4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состава комитетов Хурала представителей города Кызыла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5-го созыва (в новой редакции)». Согласно Постановлению от 26 февраля 2020 года № 44 председателем Комитета </w:t>
      </w:r>
      <w:r>
        <w:rPr>
          <w:rFonts w:ascii="Times New Roman" w:hAnsi="Times New Roman"/>
          <w:sz w:val="28"/>
          <w:szCs w:val="28"/>
        </w:rPr>
        <w:t>культуры,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ХПГК утвержден Бурбучук Буян Вячеславович. </w:t>
      </w:r>
    </w:p>
    <w:p w:rsidR="00D068EF" w:rsidRDefault="00D068EF" w:rsidP="00D068EF">
      <w:pPr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068EF" w:rsidRDefault="00D068EF" w:rsidP="00D068EF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составе комитета работали </w:t>
      </w:r>
      <w:r>
        <w:rPr>
          <w:rFonts w:ascii="Times New Roman" w:hAnsi="Times New Roman"/>
          <w:b/>
          <w:color w:val="333333"/>
          <w:sz w:val="28"/>
          <w:szCs w:val="28"/>
        </w:rPr>
        <w:t>7  депутата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</w:p>
    <w:tbl>
      <w:tblPr>
        <w:tblW w:w="0" w:type="auto"/>
        <w:tblLook w:val="00A0"/>
      </w:tblPr>
      <w:tblGrid>
        <w:gridCol w:w="5495"/>
        <w:gridCol w:w="709"/>
        <w:gridCol w:w="3367"/>
      </w:tblGrid>
      <w:tr w:rsidR="00D068EF" w:rsidTr="00D068EF">
        <w:tc>
          <w:tcPr>
            <w:tcW w:w="5495" w:type="dxa"/>
            <w:hideMark/>
          </w:tcPr>
          <w:p w:rsidR="00D068EF" w:rsidRDefault="00D0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Бурбучук Буян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Вячеславовоич</w:t>
            </w:r>
            <w:proofErr w:type="spellEnd"/>
          </w:p>
        </w:tc>
        <w:tc>
          <w:tcPr>
            <w:tcW w:w="709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ym w:font="Symbol" w:char="F0BE"/>
            </w:r>
          </w:p>
        </w:tc>
        <w:tc>
          <w:tcPr>
            <w:tcW w:w="3367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комитета</w:t>
            </w:r>
          </w:p>
        </w:tc>
      </w:tr>
      <w:tr w:rsidR="00D068EF" w:rsidTr="00D068EF">
        <w:tc>
          <w:tcPr>
            <w:tcW w:w="5495" w:type="dxa"/>
            <w:hideMark/>
          </w:tcPr>
          <w:p w:rsidR="00D068EF" w:rsidRDefault="00D0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Ондар Эдуард Борисович</w:t>
            </w:r>
          </w:p>
        </w:tc>
        <w:tc>
          <w:tcPr>
            <w:tcW w:w="709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ym w:font="Symbol" w:char="F0BE"/>
            </w:r>
          </w:p>
        </w:tc>
        <w:tc>
          <w:tcPr>
            <w:tcW w:w="3367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</w:tr>
      <w:tr w:rsidR="00D068EF" w:rsidTr="00D068EF">
        <w:tc>
          <w:tcPr>
            <w:tcW w:w="5495" w:type="dxa"/>
            <w:hideMark/>
          </w:tcPr>
          <w:p w:rsidR="00D068EF" w:rsidRDefault="00D0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Алиев Чингиз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Исахан-оглы</w:t>
            </w:r>
            <w:proofErr w:type="spellEnd"/>
          </w:p>
        </w:tc>
        <w:tc>
          <w:tcPr>
            <w:tcW w:w="709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ym w:font="Symbol" w:char="F0BE"/>
            </w:r>
          </w:p>
        </w:tc>
        <w:tc>
          <w:tcPr>
            <w:tcW w:w="3367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Член комитета </w:t>
            </w:r>
          </w:p>
        </w:tc>
      </w:tr>
      <w:tr w:rsidR="00D068EF" w:rsidTr="00D068EF">
        <w:tc>
          <w:tcPr>
            <w:tcW w:w="5495" w:type="dxa"/>
            <w:hideMark/>
          </w:tcPr>
          <w:p w:rsidR="00D068EF" w:rsidRDefault="00D068E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Лада Валерьевна</w:t>
            </w:r>
          </w:p>
        </w:tc>
        <w:tc>
          <w:tcPr>
            <w:tcW w:w="709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ym w:font="Symbol" w:char="F0BE"/>
            </w:r>
          </w:p>
        </w:tc>
        <w:tc>
          <w:tcPr>
            <w:tcW w:w="3367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комитета</w:t>
            </w:r>
          </w:p>
        </w:tc>
      </w:tr>
      <w:tr w:rsidR="00D068EF" w:rsidTr="00D068EF">
        <w:tc>
          <w:tcPr>
            <w:tcW w:w="5495" w:type="dxa"/>
            <w:hideMark/>
          </w:tcPr>
          <w:p w:rsidR="00D068EF" w:rsidRDefault="00D068E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Яков Владимирович</w:t>
            </w:r>
          </w:p>
        </w:tc>
        <w:tc>
          <w:tcPr>
            <w:tcW w:w="709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ym w:font="Symbol" w:char="F0BE"/>
            </w:r>
          </w:p>
        </w:tc>
        <w:tc>
          <w:tcPr>
            <w:tcW w:w="3367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комитета</w:t>
            </w:r>
          </w:p>
        </w:tc>
      </w:tr>
      <w:tr w:rsidR="00D068EF" w:rsidTr="00D068EF">
        <w:tc>
          <w:tcPr>
            <w:tcW w:w="5495" w:type="dxa"/>
            <w:hideMark/>
          </w:tcPr>
          <w:p w:rsidR="00D068EF" w:rsidRDefault="00D06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Дегтярева Мира Владимировна</w:t>
            </w:r>
          </w:p>
          <w:p w:rsidR="00D068EF" w:rsidRDefault="00D06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Тамоев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Телманович</w:t>
            </w:r>
            <w:proofErr w:type="spellEnd"/>
          </w:p>
          <w:p w:rsidR="00D068EF" w:rsidRDefault="00D06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Берзина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Герсимовна</w:t>
            </w:r>
            <w:proofErr w:type="spellEnd"/>
          </w:p>
          <w:p w:rsidR="00D068EF" w:rsidRDefault="00D068E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 Николаевич</w:t>
            </w:r>
          </w:p>
        </w:tc>
        <w:tc>
          <w:tcPr>
            <w:tcW w:w="709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ym w:font="Symbol" w:char="F0BE"/>
            </w:r>
          </w:p>
        </w:tc>
        <w:tc>
          <w:tcPr>
            <w:tcW w:w="3367" w:type="dxa"/>
            <w:hideMark/>
          </w:tcPr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комитета</w:t>
            </w:r>
          </w:p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комитета</w:t>
            </w:r>
          </w:p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комитета</w:t>
            </w:r>
          </w:p>
          <w:p w:rsidR="00D068EF" w:rsidRDefault="00D0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комитета</w:t>
            </w:r>
          </w:p>
        </w:tc>
      </w:tr>
    </w:tbl>
    <w:p w:rsidR="00D068EF" w:rsidRDefault="00D068EF" w:rsidP="00D068EF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</w:p>
    <w:p w:rsidR="00D068EF" w:rsidRDefault="00D068EF" w:rsidP="00D06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течение отчетного периода комитет тесно сотрудничал с Департаментом культуры, спорта и молодежной политики, Министерством по делам молодежи и спорта РТ, Министерством культуры РТ, Центром развития информационного туризма, МУ «Центра дополнительного образования детей и юношества города Кызыла».</w:t>
      </w:r>
    </w:p>
    <w:p w:rsidR="00D068EF" w:rsidRDefault="00D068EF" w:rsidP="00D068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Всего в отчетный период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проведено 6 заседаний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комитета, в том числе совместных 2. На данных заседаниях   рассмотрено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28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/>
          <w:color w:val="333333"/>
          <w:sz w:val="28"/>
          <w:szCs w:val="28"/>
        </w:rPr>
        <w:t xml:space="preserve">Из них в пределах компетенции комитета, поддержано </w:t>
      </w:r>
      <w:r>
        <w:rPr>
          <w:rFonts w:ascii="Times New Roman" w:hAnsi="Times New Roman"/>
          <w:b/>
          <w:color w:val="333333"/>
          <w:sz w:val="28"/>
          <w:szCs w:val="28"/>
        </w:rPr>
        <w:t>5 решений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D068EF" w:rsidRDefault="00D068EF" w:rsidP="00D068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увековечении </w:t>
      </w:r>
      <w:proofErr w:type="gramStart"/>
      <w:r>
        <w:rPr>
          <w:rFonts w:ascii="Times New Roman" w:hAnsi="Times New Roman"/>
          <w:sz w:val="28"/>
          <w:szCs w:val="28"/>
        </w:rPr>
        <w:t>памяти Героев Советского Союза Николая Пантелеевича</w:t>
      </w:r>
      <w:proofErr w:type="gramEnd"/>
      <w:r>
        <w:rPr>
          <w:rFonts w:ascii="Times New Roman" w:hAnsi="Times New Roman"/>
          <w:sz w:val="28"/>
          <w:szCs w:val="28"/>
        </w:rPr>
        <w:t xml:space="preserve"> Кабака, Николая Игнатьевича Трофимова, Василия Лукьяновича Полещука и Василия Петровича Брагина путем присвоения улицам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«Спутник» города Кызыла</w:t>
      </w:r>
      <w:r>
        <w:rPr>
          <w:rFonts w:ascii="Times New Roman" w:hAnsi="Times New Roman"/>
          <w:color w:val="000000" w:themeColor="text1"/>
          <w:sz w:val="28"/>
          <w:szCs w:val="28"/>
        </w:rPr>
        <w:t>» (21.10.2020г.);</w:t>
      </w:r>
    </w:p>
    <w:p w:rsidR="00D068EF" w:rsidRDefault="00D068EF" w:rsidP="00D068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установки мемориальной доски на фасаде многоквартирного дома по адресу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ызыл, ул. Дружбы, д. 32 «б», увековечивание памяти </w:t>
      </w:r>
      <w:proofErr w:type="spellStart"/>
      <w:r>
        <w:rPr>
          <w:rFonts w:ascii="Times New Roman" w:hAnsi="Times New Roman"/>
          <w:sz w:val="28"/>
          <w:szCs w:val="28"/>
        </w:rPr>
        <w:t>НурсатаМерген-оолаХовалыговича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(21.10.2020г.);</w:t>
      </w:r>
    </w:p>
    <w:p w:rsidR="00D068EF" w:rsidRDefault="00D068EF" w:rsidP="00D068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 присвоении имени видного государственного деятеля, первого Министра просвещения Тувинской Народной Республики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Лоапсан-КенденаОоржакМижит-Доржуоглу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новой строящейся школе на территории левобережных дачных обществ города Кызыла» (17.06.2021г.);</w:t>
      </w:r>
    </w:p>
    <w:p w:rsidR="00D068EF" w:rsidRDefault="00D068EF" w:rsidP="00D068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«Об увековечивании памяти Пала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Ензаны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Дмитриевны путем присвоения улице «8-ая линия микрорайона «Спутник» города Кызыла имени Пала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Ензаны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Дмитриевны» (09.12.2021г.);</w:t>
      </w:r>
    </w:p>
    <w:p w:rsidR="00D068EF" w:rsidRDefault="00D068EF" w:rsidP="00D068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«Об увековечении памяти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Монгуша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Анатолия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Мижит-Доржуевича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форме установки мемориальной доски на фасаде многоквартирного дома» (09.12.2021г.).</w:t>
      </w:r>
    </w:p>
    <w:p w:rsidR="00D068EF" w:rsidRDefault="00D068EF" w:rsidP="00D068EF">
      <w:pPr>
        <w:pStyle w:val="a3"/>
        <w:spacing w:after="0" w:line="360" w:lineRule="auto"/>
        <w:ind w:left="11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 Муниципальные программы</w:t>
      </w:r>
    </w:p>
    <w:p w:rsidR="00D068EF" w:rsidRPr="00D003E2" w:rsidRDefault="00D068EF" w:rsidP="00D068EF">
      <w:pPr>
        <w:pStyle w:val="a3"/>
        <w:spacing w:after="0" w:line="360" w:lineRule="auto"/>
        <w:ind w:left="0" w:firstLine="1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Бюджет города Кызыла сформирован в программном формате. Комитет по культуре, спорту и молодежной политике Хурала представителей города Кызыла по своему профилю контролирует исполнение Муниципальной программы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сфере культуры в городском округе «Город Кызыл Республики Тыва» на 2021-2023 годы», Муниципальной программы «Развитие физической культуры, спорта и молодежной политики в городском округе «Город Кызыл Республики Тыва» на 2021-2023 годы».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гармонизации межнациональных отношений, укрепления гражданского единства народов, проживающих на территории города Кызыла, обеспечения условий для их полноправного развития первым уточнением бюджета от </w:t>
      </w:r>
      <w:r w:rsidRPr="00D003E2">
        <w:rPr>
          <w:rFonts w:ascii="Times New Roman" w:hAnsi="Times New Roman"/>
          <w:color w:val="000000" w:themeColor="text1"/>
          <w:sz w:val="28"/>
          <w:szCs w:val="28"/>
        </w:rPr>
        <w:t xml:space="preserve">25 февраля 2021 года введена новая Муниципальная программа «Укрепление </w:t>
      </w:r>
      <w:r w:rsidRPr="00D003E2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гражданского единства и этнокультурное развитие народов, проживающих на территории городского округа «Город Кызыл Республики Тыва» на 2021-2023 годы».</w:t>
      </w:r>
      <w:proofErr w:type="gramEnd"/>
    </w:p>
    <w:p w:rsidR="00D068EF" w:rsidRPr="00D003E2" w:rsidRDefault="00D068EF" w:rsidP="00D068EF">
      <w:pPr>
        <w:pStyle w:val="a3"/>
        <w:spacing w:after="0" w:line="360" w:lineRule="auto"/>
        <w:ind w:left="0" w:firstLine="11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03E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D003E2">
        <w:rPr>
          <w:rFonts w:ascii="Times New Roman" w:hAnsi="Times New Roman"/>
          <w:b/>
          <w:color w:val="000000" w:themeColor="text1"/>
          <w:sz w:val="28"/>
          <w:szCs w:val="28"/>
        </w:rPr>
        <w:t>. Национальные проекты</w:t>
      </w:r>
    </w:p>
    <w:p w:rsidR="00D068EF" w:rsidRPr="00D003E2" w:rsidRDefault="00D068EF" w:rsidP="00D068EF">
      <w:pPr>
        <w:pStyle w:val="a3"/>
        <w:spacing w:after="0" w:line="360" w:lineRule="auto"/>
        <w:ind w:left="0" w:firstLine="1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3E2">
        <w:rPr>
          <w:rFonts w:ascii="Times New Roman" w:hAnsi="Times New Roman"/>
          <w:color w:val="000000" w:themeColor="text1"/>
          <w:sz w:val="28"/>
          <w:szCs w:val="28"/>
        </w:rPr>
        <w:t xml:space="preserve">Так же на особом контроле у Комитета реализация национальных проектов. Реализация национального проекта «Культура» началась в 2019 году и направлена на обновление материально-технического обеспечения для улучшения качества работы учреждений. Так, на объектах культуры г. Кызыла в 2020 году проведены ремонтные работы на общую сумму 1 002,445 тыс. руб.: ГДК «Енисей», ул. Набережная, 80 и </w:t>
      </w:r>
      <w:proofErr w:type="spellStart"/>
      <w:r w:rsidRPr="00D003E2">
        <w:rPr>
          <w:rFonts w:ascii="Times New Roman" w:hAnsi="Times New Roman"/>
          <w:color w:val="000000" w:themeColor="text1"/>
          <w:sz w:val="28"/>
          <w:szCs w:val="28"/>
        </w:rPr>
        <w:t>Арт-Центр</w:t>
      </w:r>
      <w:proofErr w:type="spellEnd"/>
      <w:r w:rsidRPr="00D003E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D003E2">
        <w:rPr>
          <w:rFonts w:ascii="Times New Roman" w:hAnsi="Times New Roman"/>
          <w:color w:val="000000" w:themeColor="text1"/>
          <w:sz w:val="28"/>
          <w:szCs w:val="28"/>
        </w:rPr>
        <w:t>Найысылал</w:t>
      </w:r>
      <w:proofErr w:type="spellEnd"/>
      <w:r w:rsidRPr="00D003E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068EF" w:rsidRPr="00D003E2" w:rsidRDefault="00D068EF" w:rsidP="00D068EF">
      <w:pPr>
        <w:pStyle w:val="a3"/>
        <w:spacing w:after="0" w:line="360" w:lineRule="auto"/>
        <w:ind w:left="-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3E2">
        <w:rPr>
          <w:rFonts w:ascii="Times New Roman" w:hAnsi="Times New Roman"/>
          <w:color w:val="000000" w:themeColor="text1"/>
          <w:sz w:val="28"/>
          <w:szCs w:val="28"/>
        </w:rPr>
        <w:t>В рамках проекта «Культура» реализуется направление «Модельные библиотеки». В 2021 году в прое</w:t>
      </w:r>
      <w:proofErr w:type="gramStart"/>
      <w:r w:rsidRPr="00D003E2">
        <w:rPr>
          <w:rFonts w:ascii="Times New Roman" w:hAnsi="Times New Roman"/>
          <w:color w:val="000000" w:themeColor="text1"/>
          <w:sz w:val="28"/>
          <w:szCs w:val="28"/>
        </w:rPr>
        <w:t>кт вкл</w:t>
      </w:r>
      <w:proofErr w:type="gramEnd"/>
      <w:r w:rsidRPr="00D003E2">
        <w:rPr>
          <w:rFonts w:ascii="Times New Roman" w:hAnsi="Times New Roman"/>
          <w:color w:val="000000" w:themeColor="text1"/>
          <w:sz w:val="28"/>
          <w:szCs w:val="28"/>
        </w:rPr>
        <w:t xml:space="preserve">ючена библиотека им. М. Горького по ул. </w:t>
      </w:r>
      <w:proofErr w:type="spellStart"/>
      <w:r w:rsidRPr="00D003E2">
        <w:rPr>
          <w:rFonts w:ascii="Times New Roman" w:hAnsi="Times New Roman"/>
          <w:color w:val="000000" w:themeColor="text1"/>
          <w:sz w:val="28"/>
          <w:szCs w:val="28"/>
        </w:rPr>
        <w:t>Убсу-Нурская</w:t>
      </w:r>
      <w:proofErr w:type="spellEnd"/>
      <w:r w:rsidRPr="00D003E2">
        <w:rPr>
          <w:rFonts w:ascii="Times New Roman" w:hAnsi="Times New Roman"/>
          <w:color w:val="000000" w:themeColor="text1"/>
          <w:sz w:val="28"/>
          <w:szCs w:val="28"/>
        </w:rPr>
        <w:t>, 24.</w:t>
      </w:r>
    </w:p>
    <w:p w:rsidR="00D068EF" w:rsidRPr="00D003E2" w:rsidRDefault="00D068EF" w:rsidP="00D068E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3E2">
        <w:rPr>
          <w:rFonts w:ascii="Times New Roman" w:hAnsi="Times New Roman"/>
          <w:color w:val="000000" w:themeColor="text1"/>
          <w:sz w:val="28"/>
          <w:szCs w:val="28"/>
        </w:rPr>
        <w:t xml:space="preserve">В 2022 году в конкурсном отборе субъектов Российской Федерации на создание модельных библиотек в рамках федерального проекта «Культурная среда» принимает участие Центральная городская детская библиотека им. А. Гайдара. Нами инициированы открытие 2-х народных библиотек в ГДК «Енисей», </w:t>
      </w:r>
      <w:proofErr w:type="spellStart"/>
      <w:r w:rsidRPr="00D003E2">
        <w:rPr>
          <w:rFonts w:ascii="Times New Roman" w:hAnsi="Times New Roman"/>
          <w:color w:val="000000" w:themeColor="text1"/>
          <w:sz w:val="28"/>
          <w:szCs w:val="28"/>
        </w:rPr>
        <w:t>Арт-Центр</w:t>
      </w:r>
      <w:proofErr w:type="spellEnd"/>
      <w:r w:rsidRPr="00D003E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D003E2">
        <w:rPr>
          <w:rFonts w:ascii="Times New Roman" w:hAnsi="Times New Roman"/>
          <w:color w:val="000000" w:themeColor="text1"/>
          <w:sz w:val="28"/>
          <w:szCs w:val="28"/>
        </w:rPr>
        <w:t>Найысылал</w:t>
      </w:r>
      <w:proofErr w:type="spellEnd"/>
      <w:r w:rsidRPr="00D003E2">
        <w:rPr>
          <w:rFonts w:ascii="Times New Roman" w:hAnsi="Times New Roman"/>
          <w:color w:val="000000" w:themeColor="text1"/>
          <w:sz w:val="28"/>
          <w:szCs w:val="28"/>
        </w:rPr>
        <w:t>».</w:t>
      </w:r>
      <w:bookmarkStart w:id="0" w:name="_GoBack"/>
      <w:bookmarkEnd w:id="0"/>
    </w:p>
    <w:p w:rsidR="00D068EF" w:rsidRPr="00D003E2" w:rsidRDefault="00D068EF" w:rsidP="00D068EF">
      <w:pPr>
        <w:pStyle w:val="a3"/>
        <w:spacing w:after="0" w:line="360" w:lineRule="auto"/>
        <w:ind w:left="0" w:firstLine="1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3E2">
        <w:rPr>
          <w:rFonts w:ascii="Times New Roman" w:hAnsi="Times New Roman"/>
          <w:color w:val="000000" w:themeColor="text1"/>
          <w:sz w:val="28"/>
          <w:szCs w:val="28"/>
        </w:rPr>
        <w:t xml:space="preserve">С 2018 года у нас реализуется федеральный партийный проект «Детский спорт» - поддержка развития инициатив по организации спортивно-массовой деятельности детского и юношеского спорта. </w:t>
      </w:r>
      <w:proofErr w:type="gramStart"/>
      <w:r w:rsidRPr="00D003E2">
        <w:rPr>
          <w:rFonts w:ascii="Times New Roman" w:hAnsi="Times New Roman"/>
          <w:color w:val="000000" w:themeColor="text1"/>
          <w:sz w:val="28"/>
          <w:szCs w:val="28"/>
        </w:rPr>
        <w:t xml:space="preserve">В рамках данного федерального проекта произведена реконструкция хоккейной коробки по ул. Титова д. 36 под многофункциональную спортивную круглогодичную площадку для занятий физической культурой и спортом в зимнее время – хоккей с мячом, катание на коньках, в летнее – подвижные игры (волейбол, баскетбол), обустроена спортивная площадка на территории левобережных дачных обществ (турники, брусья, тренажеры. </w:t>
      </w:r>
      <w:proofErr w:type="gramEnd"/>
    </w:p>
    <w:p w:rsidR="00D068EF" w:rsidRDefault="00D068EF" w:rsidP="00D068EF">
      <w:pPr>
        <w:pStyle w:val="a3"/>
        <w:spacing w:after="0" w:line="360" w:lineRule="auto"/>
        <w:ind w:left="0" w:firstLine="1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3E2">
        <w:rPr>
          <w:rFonts w:ascii="Times New Roman" w:hAnsi="Times New Roman"/>
          <w:color w:val="000000" w:themeColor="text1"/>
          <w:sz w:val="28"/>
          <w:szCs w:val="28"/>
        </w:rPr>
        <w:t>На текущий год в рамках федерального проекта «Детский спорт» по направлению «Спорт – норма жизни» (по поставке спортивно-технологического оборудования для создания или модернизации физкультурно-оздоровительных комплексов открытого типа) планируется обустройство физкультурно-</w:t>
      </w:r>
      <w:r w:rsidRPr="00D003E2">
        <w:rPr>
          <w:rFonts w:ascii="Times New Roman" w:hAnsi="Times New Roman"/>
          <w:color w:val="000000" w:themeColor="text1"/>
          <w:sz w:val="28"/>
          <w:szCs w:val="28"/>
        </w:rPr>
        <w:lastRenderedPageBreak/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здоровительного комплекса открытого типа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мкрн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Спутник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стоимостью 20,0 млн. рублей.</w:t>
      </w:r>
    </w:p>
    <w:p w:rsidR="00D068EF" w:rsidRDefault="00D068EF" w:rsidP="00D068EF">
      <w:pPr>
        <w:spacing w:after="0" w:line="360" w:lineRule="auto"/>
        <w:ind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национальному проекту «Культура» ведется капитальный ремонт здания МАУДО «Детская хореографическая школа г. Кызыла». В соответствии с соглашением, заключенным между Министерством культуры и мэрией города Кызыла выделены субсидии из бюджета республики на капитальный ремонт здания МАУДО «Детская хореографическая школа 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ызыла» в рамках государственной программы Республики Тыва «Развитие культуры и искусства на 2021-2025 годы» в сумме 10 454,5 тыс. рублей.</w:t>
      </w:r>
    </w:p>
    <w:p w:rsidR="00D068EF" w:rsidRDefault="00D068EF" w:rsidP="00D068EF">
      <w:pPr>
        <w:spacing w:after="0" w:line="360" w:lineRule="auto"/>
        <w:ind w:firstLine="70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 Участие в спортивных, культурных мероприятиях и волонтерской деятельности</w:t>
      </w:r>
    </w:p>
    <w:p w:rsidR="00D068EF" w:rsidRDefault="00D068EF" w:rsidP="00D068EF">
      <w:pPr>
        <w:spacing w:after="0" w:line="360" w:lineRule="auto"/>
        <w:ind w:left="142" w:firstLine="5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Ежегодно Комитет по культуре, спорту и молодежной политике принимает участие в организации и проведении ежегодного турнира по волейболу среди женских и мужских команд города Кызыла. В 2021 году приняли участие 44 команд города.  </w:t>
      </w:r>
    </w:p>
    <w:p w:rsidR="00D068EF" w:rsidRDefault="00D068EF" w:rsidP="00D068EF">
      <w:pPr>
        <w:spacing w:after="0" w:line="360" w:lineRule="auto"/>
        <w:ind w:left="142" w:firstLine="5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Комитета принял участие в торжественном закрытии Первенства Республики Тыва по волейболу среди юношей и девушек 2003-2005гг., где наградил от имени Хурала номинациями «Самый техничный игрок» среди девушек и юношей. Также принял участие от имени Хурала представителей города Кызыла в торжественном церемонии награждения победителей и призеров Чемпионата «КЭС-БАСКЕТ» по баскетболу среди юношей и девушек, отметив и наградив номинациями «Лучший нападающий», «Лучший защитник».</w:t>
      </w:r>
    </w:p>
    <w:p w:rsidR="00D068EF" w:rsidRDefault="00D068EF" w:rsidP="00D068EF">
      <w:pPr>
        <w:spacing w:after="0" w:line="360" w:lineRule="auto"/>
        <w:ind w:left="142" w:firstLine="5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совершенствования координации правотворческой деятельности органов муниципальных образований, обменом опыта работы, укрепления партнерских отношений между Хуралом представителей города Кызыла и представительными органами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кожуунов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Тыва председатель Комитета принял участие с докладом в стажировке для глав муниципальных образований Республики Тыва о работе Комитета культуры, спорта и молодежной политике Хурала представителей города Кызыла. </w:t>
      </w:r>
      <w:proofErr w:type="gramEnd"/>
    </w:p>
    <w:p w:rsidR="00D068EF" w:rsidRDefault="00D068EF" w:rsidP="00D068EF">
      <w:pPr>
        <w:spacing w:after="0" w:line="360" w:lineRule="auto"/>
        <w:ind w:left="142" w:firstLine="5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Члены Комитета активно приняли участие в волонтёрской деятельности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CaII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-центре на базе Центра амбулаторной диагностики и лечения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GOVID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-19, принимали звонки о граждан, оказывали помощь и консультировали по телефону. </w:t>
      </w:r>
    </w:p>
    <w:p w:rsidR="00D068EF" w:rsidRDefault="00D068EF" w:rsidP="00D068EF">
      <w:pPr>
        <w:spacing w:after="0" w:line="360" w:lineRule="auto"/>
        <w:ind w:left="142" w:firstLine="5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рамках акции «Восстановление и ремонт дворовых детских площадок» члены Комитета активно приняли участие в косметическом ремонте детских игровых площадок города Кызыла. </w:t>
      </w:r>
    </w:p>
    <w:p w:rsidR="00D068EF" w:rsidRDefault="00D068EF" w:rsidP="00D068EF">
      <w:pPr>
        <w:spacing w:after="0" w:line="360" w:lineRule="auto"/>
        <w:ind w:firstLine="70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 Задачи на 2022 год</w:t>
      </w:r>
    </w:p>
    <w:p w:rsidR="00D068EF" w:rsidRDefault="00D068EF" w:rsidP="00D068EF">
      <w:pPr>
        <w:spacing w:after="0" w:line="360" w:lineRule="auto"/>
        <w:ind w:left="142" w:firstLine="5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Основными направлениями работы Комитета на 2022 год по-прежнему являются правотворческая деятельность, контроль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ходом исполнения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муниципальных программ «Развитие культуры города Кызыла на 2018-2020 годы», «Развитие физической культуры, спорта и молодежной политики города Кызыла на 2018-2020 годы», «Укрепление гражданского единства и этнокультурное развитие народов, проживающих на территории городского округа «Город Кызыл Республики Тыва» на 2021-2023 годы», осуществление и анализ контрольных и иных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представляемых структурными подразделениями мэрии города Кызыла.</w:t>
      </w:r>
    </w:p>
    <w:p w:rsidR="00D068EF" w:rsidRDefault="00D068EF" w:rsidP="00D068EF">
      <w:pPr>
        <w:spacing w:after="0" w:line="360" w:lineRule="auto"/>
        <w:ind w:left="142" w:firstLine="5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Будет продолжена работа с обращениями граждан, проведению заседаний и личных депутатских приемов, участию депутатов Комитета в проведении мероприятий Хуралом представителей и мэрией города Кызыла.</w:t>
      </w:r>
    </w:p>
    <w:p w:rsidR="00D068EF" w:rsidRDefault="00D068EF" w:rsidP="00D068EF">
      <w:pPr>
        <w:spacing w:after="0" w:line="360" w:lineRule="auto"/>
        <w:jc w:val="both"/>
        <w:rPr>
          <w:rFonts w:ascii="Calibri" w:hAnsi="Calibri"/>
        </w:rPr>
      </w:pPr>
    </w:p>
    <w:p w:rsidR="00D068EF" w:rsidRDefault="00D068EF" w:rsidP="00D06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культуре, </w:t>
      </w:r>
    </w:p>
    <w:p w:rsidR="00D068EF" w:rsidRDefault="00D068EF" w:rsidP="00D06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спорту и молодежной политике                                                                 Б.В. Бурбучук</w:t>
      </w:r>
    </w:p>
    <w:p w:rsidR="000C1F20" w:rsidRDefault="000C1F20"/>
    <w:sectPr w:rsidR="000C1F20" w:rsidSect="00D068E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3700"/>
    <w:multiLevelType w:val="hybridMultilevel"/>
    <w:tmpl w:val="7526AA7E"/>
    <w:lvl w:ilvl="0" w:tplc="A3FC920C">
      <w:start w:val="1"/>
      <w:numFmt w:val="decimal"/>
      <w:lvlText w:val="%1)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EF"/>
    <w:rsid w:val="000C1F20"/>
    <w:rsid w:val="00383CAC"/>
    <w:rsid w:val="00585745"/>
    <w:rsid w:val="00785FF2"/>
    <w:rsid w:val="00D003E2"/>
    <w:rsid w:val="00D0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8E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8E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CB78-807D-4094-8EF9-C6BD989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2021-11-08T07:46:00Z</dcterms:created>
  <dcterms:modified xsi:type="dcterms:W3CDTF">2021-11-08T07:46:00Z</dcterms:modified>
</cp:coreProperties>
</file>