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ХУРАЛ ПРЕДСТАВИТЕЛЕЙ ГОРОДА КЫЗЫЛА</w:t>
      </w: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РЕШЕНИЕ</w:t>
      </w: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от 17 апреля 2019 г. N 33</w:t>
      </w: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 xml:space="preserve">ОБ УТВЕРЖДЕНИИ </w:t>
      </w:r>
      <w:bookmarkStart w:id="0" w:name="_GoBack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ПОЛОЖЕНИЯ</w:t>
      </w: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 МУНИЦИПАЛЬНО-ЧАСТНОМ ПАРТНЕРСТВЕ И ПОРЯДКА</w:t>
      </w: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ФОРМИРОВАНИЯ И ВЕДЕНИЯ РЕЕСТРА СОГЛАШЕНИЙ</w:t>
      </w: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 МУНИЦИПАЛЬНО-ЧАСТНОМ ПАРТНЕРСТВЕ</w:t>
      </w:r>
      <w:bookmarkEnd w:id="0"/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В соответствии с Федеральным </w:t>
      </w:r>
      <w:hyperlink r:id="rId4" w:history="1">
        <w:r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>
        <w:rPr>
          <w:rFonts w:ascii="Arial" w:hAnsi="Arial" w:cs="Arial"/>
          <w:sz w:val="20"/>
          <w:szCs w:val="20"/>
        </w:rPr>
        <w:t xml:space="preserve"> от 13.07.2015 N 224-ФЗ "О государственно-частном партнерстве,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 xml:space="preserve">-частном партнерстве в Российской Федерации и внесении изменений в отдельные законодательные акты Российской Федерации", руководствуясь </w:t>
      </w:r>
      <w:hyperlink r:id="rId5" w:history="1">
        <w:r>
          <w:rPr>
            <w:rFonts w:ascii="Arial" w:hAnsi="Arial" w:cs="Arial"/>
            <w:color w:val="0000FF"/>
            <w:sz w:val="20"/>
            <w:szCs w:val="20"/>
          </w:rPr>
          <w:t>статьей 12</w:t>
        </w:r>
      </w:hyperlink>
      <w:r>
        <w:rPr>
          <w:rFonts w:ascii="Arial" w:hAnsi="Arial" w:cs="Arial"/>
          <w:sz w:val="20"/>
          <w:szCs w:val="20"/>
        </w:rPr>
        <w:t xml:space="preserve"> Устава городского округа "Город Кызыл Республики Тыва", принятого решением Хурала представителей города Кызыла от 05.05.2005 N 50, в целях эффективного использования муниципальных и частных ресурсов для развития экономики и социальной сферы городского округа "Город Кызыл Республики Тыва", повышения уровня жизни населения Хурал представителей города Кызыла решил: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Утвердить: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1.1. </w:t>
      </w:r>
      <w:hyperlink w:anchor="Par29" w:history="1">
        <w:r>
          <w:rPr>
            <w:rFonts w:ascii="Arial" w:hAnsi="Arial" w:cs="Arial"/>
            <w:color w:val="0000FF"/>
            <w:sz w:val="20"/>
            <w:szCs w:val="20"/>
          </w:rPr>
          <w:t>Положение</w:t>
        </w:r>
      </w:hyperlink>
      <w:r>
        <w:rPr>
          <w:rFonts w:ascii="Arial" w:hAnsi="Arial" w:cs="Arial"/>
          <w:sz w:val="20"/>
          <w:szCs w:val="20"/>
        </w:rPr>
        <w:t xml:space="preserve">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 согласно приложению 1;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1.2. </w:t>
      </w:r>
      <w:hyperlink w:anchor="Par183" w:history="1">
        <w:r>
          <w:rPr>
            <w:rFonts w:ascii="Arial" w:hAnsi="Arial" w:cs="Arial"/>
            <w:color w:val="0000FF"/>
            <w:sz w:val="20"/>
            <w:szCs w:val="20"/>
          </w:rPr>
          <w:t>Порядок</w:t>
        </w:r>
      </w:hyperlink>
      <w:r>
        <w:rPr>
          <w:rFonts w:ascii="Arial" w:hAnsi="Arial" w:cs="Arial"/>
          <w:sz w:val="20"/>
          <w:szCs w:val="20"/>
        </w:rPr>
        <w:t xml:space="preserve"> формирования и ведения Реестра соглашений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 согласно приложению 2.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Контроль за исполнением настоящего постановления возложить на комитет по финансово-экономическим вопросам, предпринимательству и инвестиционной политике Хурала представителей города Кызыла и мэрию города Кызыла.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Настоящее решение вступает в силу со дня его опубликования.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Глава - председатель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Хурала представителей г. Кызыла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И.В.КАЗАНЦЕВА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1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решению Хурала представителей г. Кызыла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17 апреля 2019 г. N 33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bookmarkStart w:id="1" w:name="Par29"/>
      <w:bookmarkEnd w:id="1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ПОЛОЖЕНИЕ</w:t>
      </w: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 МУНИЦИПАЛЬНО-ЧАСТНОМ ПАРТНЕРСТВЕ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540"/>
        <w:jc w:val="both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Статья 1. Предмет регулирования настоящего Положения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Настоящее Положение определяет цели, формы, принципы и условия участия органов местного самоуправления городского округа "Город Кызыл Республики Тыва" в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 xml:space="preserve">-частном партнерстве, а также формы муниципальной поддержки развития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Настоящее Положение разработано в целях регулирования взаимоотношений органов местного самоуправления городского округа "Город Кызыл Республики Тыва", юридических и физических лиц (далее - частный партнер), утверждения порядка заключения соглашений в рамках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540"/>
        <w:jc w:val="both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Статья 2. Основные понятия, используемые в настоящем Положении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Для целей настоящего Положения используются следующие основные понятия: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 xml:space="preserve">-частное партнерство - юридически оформленное на определенный срок и основанное на объединении ресурсов, распределении рисков сотрудничество публичного партнера, с одной стороны, и частного партнера, с другой стороны, которое осуществляется на основании соглашения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 xml:space="preserve">-частном партнерстве, заключенного в соответствии с Федеральным </w:t>
      </w:r>
      <w:hyperlink r:id="rId6" w:history="1">
        <w:r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>
        <w:rPr>
          <w:rFonts w:ascii="Arial" w:hAnsi="Arial" w:cs="Arial"/>
          <w:sz w:val="20"/>
          <w:szCs w:val="20"/>
        </w:rPr>
        <w:t xml:space="preserve"> "О государственно-частном партнерстве,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 xml:space="preserve">-частном партнерстве в Российской </w:t>
      </w:r>
      <w:r>
        <w:rPr>
          <w:rFonts w:ascii="Arial" w:hAnsi="Arial" w:cs="Arial"/>
          <w:sz w:val="20"/>
          <w:szCs w:val="20"/>
        </w:rPr>
        <w:lastRenderedPageBreak/>
        <w:t>Федерации и внесении изменений в отдельные законодательные акты Российской Федерации" в целях привлечения в экономику частных инвестиций, обеспечения органами местного самоуправления доступности товаров, работ, услуг и повышения их качества;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публичный партнер - муниципальное образование, от имени которого выступает глава муниципального образования или иной уполномоченный орган местного самоуправления в соответствии с уставом муниципального образования;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финансирующее лицо </w:t>
      </w:r>
      <w:r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юридическое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лицо</w:t>
      </w:r>
      <w:proofErr w:type="gramEnd"/>
      <w:r>
        <w:rPr>
          <w:rFonts w:ascii="Arial" w:hAnsi="Arial" w:cs="Arial"/>
          <w:sz w:val="20"/>
          <w:szCs w:val="20"/>
        </w:rPr>
        <w:t xml:space="preserve"> либо действующее без образования юридического лица по договору о совместной деятельности объединение двух и более юридических лиц, предоставляющие заемные средства частному партнеру для реализации соглашения на условиях возвратности, платности, срочности;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частный партнер - российское юридическое лицо, с которым в соответствии с настоящим Положением заключено соглашение;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5) соглашение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 - гражданско-правовой договор между публичным партнером и частным партнером, заключенный на срок не менее чем три года в порядке и на условиях, которые установлены настоящим Положением.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Частный партнер должен соответствовать следующим требованиям: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proofErr w:type="spellStart"/>
      <w:r>
        <w:rPr>
          <w:rFonts w:ascii="Arial" w:hAnsi="Arial" w:cs="Arial"/>
          <w:sz w:val="20"/>
          <w:szCs w:val="20"/>
        </w:rPr>
        <w:t>непроведение</w:t>
      </w:r>
      <w:proofErr w:type="spellEnd"/>
      <w:r>
        <w:rPr>
          <w:rFonts w:ascii="Arial" w:hAnsi="Arial" w:cs="Arial"/>
          <w:sz w:val="20"/>
          <w:szCs w:val="20"/>
        </w:rPr>
        <w:t xml:space="preserve"> ликвидации юридического лица и отсутствие решения арбитражного суда о возбуждении производства по делу о банкротстве юридического лица;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неприменение административного наказания в виде административного приостановления деятельности юридического лица в порядке, установленном </w:t>
      </w:r>
      <w:hyperlink r:id="rId7" w:history="1">
        <w:r>
          <w:rPr>
            <w:rFonts w:ascii="Arial" w:hAnsi="Arial" w:cs="Arial"/>
            <w:color w:val="0000FF"/>
            <w:sz w:val="20"/>
            <w:szCs w:val="20"/>
          </w:rPr>
          <w:t>Кодексом</w:t>
        </w:r>
      </w:hyperlink>
      <w:r>
        <w:rPr>
          <w:rFonts w:ascii="Arial" w:hAnsi="Arial" w:cs="Arial"/>
          <w:sz w:val="20"/>
          <w:szCs w:val="20"/>
        </w:rPr>
        <w:t xml:space="preserve"> Российской Федерации об административных правонарушениях, на день направления заявки на участие в конкурсе;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отсутствие недоимки по налогам, сборам и задолженности по иным обязательным платежам, а также задолженности по уплате процентов за использование бюджетных средств, пеней, штрафов, отсутствие иных финансовых санкций не ранее чем за один месяц до дня представления заявки на участие в конкурсе;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наличие необходимых в соответствии с законодательством Российской Федерации лицензий на осуществление отдельных видов деятельности, свидетельств о допуске саморегулируемых организаций к выполнению предусмотренных соглашением работ и иных необходимых для реализации соглашения разрешений.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540"/>
        <w:jc w:val="both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Статья 3. Цели настоящего Положения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Целями настоящего Положения являются: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обеспечение стабильных условий развития всех форм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привлечение и эффективное использование муниципальных и частных ресурсов, включая материальные, финансовые, интеллектуальные, научно-технические для развития экономики и социальной сферы;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повышение доступности и улучшение качества услуг, предоставляемых потребителям с использованием объектов социальной и инженерной инфраструктур за счет привлечения частных инвестиций в создание, реконструкцию, модернизацию, обслуживание или эксплуатацию объектов социальной и инженерной инфраструктур;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обеспечение эффективности использования имущества, находящегося в собственности городского округа "Город Кызыл Республики Тыва";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объединение материальных и нематериальных ресурсов органов местного самоуправления и частных партнеров на долговременной и взаимовыгодной основе для решения вопросов местного значения, создания общественных благ или оказания общественных услуг;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повышение уровня и качества жизни населения городского округа "Город Кызыл Республики Тыва".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540"/>
        <w:jc w:val="both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 xml:space="preserve">Статья 4. Принципы </w:t>
      </w:r>
      <w:proofErr w:type="spellStart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муниципально</w:t>
      </w:r>
      <w:proofErr w:type="spellEnd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-частного партнерства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-частное партнерство в городском округе "Город Кызыл Республики Тыва" основывается на принципах: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законности;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добросовестного и взаимовыгодного сотрудничества сторон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равноправия сторон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эффективного использования муниципального имущества;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5) открытости и доступности информации по вопросам реализации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обеспечения равных условий доступа юридическим лицам, индивидуальным предпринимателям, физическим лицам, объединениям юридических лиц к участию в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7) разделения ответственности, рисков и выгоды между сторонами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 кооперации материальных, финансовых, интеллектуальных, научно-технических ресурсов;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9) соблюдения прав и законных интересов участников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 и населения городского округа "Город Кызыл Республики Тыва".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540"/>
        <w:jc w:val="both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 xml:space="preserve">Статья 5. Участие городского округа "Город Кызыл Республики Тыва" в </w:t>
      </w:r>
      <w:proofErr w:type="spellStart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муниципально</w:t>
      </w:r>
      <w:proofErr w:type="spellEnd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-частном партнерстве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Городской округ "Город Кызыл Республики Тыва" участвует в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 в соответствие с действующим законодательством.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540"/>
        <w:jc w:val="both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 xml:space="preserve">Статья 6. Формы </w:t>
      </w:r>
      <w:proofErr w:type="spellStart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муниципально</w:t>
      </w:r>
      <w:proofErr w:type="spellEnd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-частного партнерства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Формами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 являются: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" w:name="Par81"/>
      <w:bookmarkEnd w:id="2"/>
      <w:r>
        <w:rPr>
          <w:rFonts w:ascii="Arial" w:hAnsi="Arial" w:cs="Arial"/>
          <w:sz w:val="20"/>
          <w:szCs w:val="20"/>
        </w:rPr>
        <w:t>1) вовлечение в инвестиционный процесс имущества, находящегося в собственности городского округа "Город Кызыл Республики Тыва";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реализация инвестиционных проектов, в том числе инвестиционных проектов местного значения;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реализация инновационных проектов;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арендные отношения;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концессионные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3" w:name="Par86"/>
      <w:bookmarkEnd w:id="3"/>
      <w:r>
        <w:rPr>
          <w:rFonts w:ascii="Arial" w:hAnsi="Arial" w:cs="Arial"/>
          <w:sz w:val="20"/>
          <w:szCs w:val="20"/>
        </w:rPr>
        <w:t>6) совместная деятельность по развитию застроенных территорий;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4" w:name="Par87"/>
      <w:bookmarkEnd w:id="4"/>
      <w:r>
        <w:rPr>
          <w:rFonts w:ascii="Arial" w:hAnsi="Arial" w:cs="Arial"/>
          <w:sz w:val="20"/>
          <w:szCs w:val="20"/>
        </w:rPr>
        <w:t>7) соглашения о сотрудничестве и взаимодействии в сфере социально-экономического развития городского округа "Город Кызыл Республики Тыва".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Соглашения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 xml:space="preserve">-частном партнерстве в формах, предусмотренных </w:t>
      </w:r>
      <w:hyperlink w:anchor="Par81" w:history="1">
        <w:r>
          <w:rPr>
            <w:rFonts w:ascii="Arial" w:hAnsi="Arial" w:cs="Arial"/>
            <w:color w:val="0000FF"/>
            <w:sz w:val="20"/>
            <w:szCs w:val="20"/>
          </w:rPr>
          <w:t>пунктами 1</w:t>
        </w:r>
      </w:hyperlink>
      <w:r>
        <w:rPr>
          <w:rFonts w:ascii="Arial" w:hAnsi="Arial" w:cs="Arial"/>
          <w:sz w:val="20"/>
          <w:szCs w:val="20"/>
        </w:rPr>
        <w:t xml:space="preserve"> - </w:t>
      </w:r>
      <w:hyperlink w:anchor="Par86" w:history="1">
        <w:r>
          <w:rPr>
            <w:rFonts w:ascii="Arial" w:hAnsi="Arial" w:cs="Arial"/>
            <w:color w:val="0000FF"/>
            <w:sz w:val="20"/>
            <w:szCs w:val="20"/>
          </w:rPr>
          <w:t>6 части 1</w:t>
        </w:r>
      </w:hyperlink>
      <w:r>
        <w:rPr>
          <w:rFonts w:ascii="Arial" w:hAnsi="Arial" w:cs="Arial"/>
          <w:sz w:val="20"/>
          <w:szCs w:val="20"/>
        </w:rPr>
        <w:t xml:space="preserve"> настоящей статьи, заключаются в соответствии с федеральным законодательством и нормативными правовыми актами органов местного самоуправления городского округа "Город Кызыл Республики Тыва".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Соглашения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 xml:space="preserve">-частном партнерстве в форме, предусмотренной </w:t>
      </w:r>
      <w:hyperlink w:anchor="Par87" w:history="1">
        <w:r>
          <w:rPr>
            <w:rFonts w:ascii="Arial" w:hAnsi="Arial" w:cs="Arial"/>
            <w:color w:val="0000FF"/>
            <w:sz w:val="20"/>
            <w:szCs w:val="20"/>
          </w:rPr>
          <w:t>пунктом 7 части 1</w:t>
        </w:r>
      </w:hyperlink>
      <w:r>
        <w:rPr>
          <w:rFonts w:ascii="Arial" w:hAnsi="Arial" w:cs="Arial"/>
          <w:sz w:val="20"/>
          <w:szCs w:val="20"/>
        </w:rPr>
        <w:t xml:space="preserve"> настоящей статьи, заключаются в соответствии с федеральным законодательством и настоящим Положением.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540"/>
        <w:jc w:val="both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Статья 7. Объекты соглашения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5" w:name="Par93"/>
      <w:bookmarkEnd w:id="5"/>
      <w:r>
        <w:rPr>
          <w:rFonts w:ascii="Arial" w:hAnsi="Arial" w:cs="Arial"/>
          <w:sz w:val="20"/>
          <w:szCs w:val="20"/>
        </w:rPr>
        <w:t>1. Объектом соглашения являются: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частные автомобильные дороги или участки частных автомобильных дорог, искусственные дорожные сооружения, производственные объекты (объекты, используемые при капитальном ремонте, ремонте и содержании автомобильных дорог), элементы обустройства автомобильных дорог, объекты, предназначенные для взимания платы (в том числе пункты взимания платы), объекты дорожного сервиса;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транспорт общего пользования;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объекты по производству, передаче и распределению электрической энергии;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сооружения связи, линии связи и коммуникации, иные линейные объекты связи и коммуникации;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объекты образования, культуры, спорта, объекты, используемые для организации отдыха граждан и туризма, иные объекты социального обслуживания населения;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объекты, на которых осуществляются обработка, утилизация, обезвреживание, размещение твердых коммунальных отходов;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 объекты благоустройства территорий, в том числе для их освещения;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 объекты производства, первичной и (или) последующей (промышленной) переработки, хранения сельскохозяйственной продукции, включенные в утвержденный Правительством Российской Федерации в соответствии с законодательством Российской Федерации о развитии сельского хозяйства перечень и определенные согласно критериям, установленным Правительством Российской Федерации;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 имущественные комплексы, предназначенные для производства промышленной продукции и (или) осуществления иной деятельности в сфере промышленности;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 программы для электронных вычислительных машин (программы для ЭВМ), базы данных, информационные системы (в том числе государственные информационные системы) и (или) сайты в информационно-телекоммуникационной сети "Интернет" или других информационно-телекоммуникационных сетях, в состав которых входят такие программы для ЭВМ и (или) базы данных, либо совокупность указанных объектов (далее - объекты информационных технологий), либо объекты информационных технологий и имущество, технологически связанное с одним или несколькими такими объектами и предназначенное для обеспечения их функционирования или осуществления иной деятельности, предусмотренной соглашением (далее - технические средства обеспечения функционирования объектов информационных технологий);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совокупность зданий, частей зданий или помещений, объединенных единым назначением с движимым имуществом, технологически связанным с объектами информационных технологий, и предназначенных для автоматизации с использованием программ для ЭВМ и баз данных процессов формирования, хранения, обработки, приема, передачи, доставки информации, обеспечения доступа к ней, ее представления и распространения (центры обработки данных).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Объектом соглашения из перечня указанных в </w:t>
      </w:r>
      <w:hyperlink w:anchor="Par93" w:history="1">
        <w:r>
          <w:rPr>
            <w:rFonts w:ascii="Arial" w:hAnsi="Arial" w:cs="Arial"/>
            <w:color w:val="0000FF"/>
            <w:sz w:val="20"/>
            <w:szCs w:val="20"/>
          </w:rPr>
          <w:t>части 1</w:t>
        </w:r>
      </w:hyperlink>
      <w:r>
        <w:rPr>
          <w:rFonts w:ascii="Arial" w:hAnsi="Arial" w:cs="Arial"/>
          <w:sz w:val="20"/>
          <w:szCs w:val="20"/>
        </w:rPr>
        <w:t xml:space="preserve"> настоящей статьи объектов соглашения может быть только имущество, в отношении которого законодательством Российской Федерации не установлены принадлежность исключительно к государственной, муниципальной собственности или запрет на отчуждение в частную собственность либо на нахождение в частной собственности.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Соглашение может быть заключено в отношении нескольких объектов, указанных в части 1 настоящей статьи. Заключение соглашения в отношении нескольких объектов соглашения допускается в случае, если указанные действия (бездействие) не приведут к недопущению, ограничению, устранению конкуренции.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Объект соглашения, подлежащий реконструкции, должен находиться в собственности публичного партнера на момент заключения соглашения. Указанный объект на момент его передачи частному партнеру должен быть свободным от прав третьих лиц.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540"/>
        <w:jc w:val="both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lastRenderedPageBreak/>
        <w:t xml:space="preserve">Статья 8. Формы муниципальной поддержки развития </w:t>
      </w:r>
      <w:proofErr w:type="spellStart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муниципально</w:t>
      </w:r>
      <w:proofErr w:type="spellEnd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-частного партнерства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Формами муниципальной поддержки, оказываемой частным партнерам в целях развития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партнерства, являются: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предоставление налоговых льгот в соответствии с Налоговым </w:t>
      </w:r>
      <w:hyperlink r:id="rId8" w:history="1">
        <w:r>
          <w:rPr>
            <w:rFonts w:ascii="Arial" w:hAnsi="Arial" w:cs="Arial"/>
            <w:color w:val="0000FF"/>
            <w:sz w:val="20"/>
            <w:szCs w:val="20"/>
          </w:rPr>
          <w:t>кодексом</w:t>
        </w:r>
      </w:hyperlink>
      <w:r>
        <w:rPr>
          <w:rFonts w:ascii="Arial" w:hAnsi="Arial" w:cs="Arial"/>
          <w:sz w:val="20"/>
          <w:szCs w:val="20"/>
        </w:rPr>
        <w:t xml:space="preserve"> Российской Федерации и нормативными правовыми актами органов местного самоуправления городского округа "Город Кызыл Республики Тыва";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предоставление льгот по аренде имущества, являющегося собственностью городского округа "Город Кызыл Республики Тыва";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информационная и консультационная поддержка.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Нормативными правовыми актами органов местного самоуправления городского округа "Город Кызыл Республики Тыва" могут предусматриваться иные формы муниципальной поддержки развития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Условия и порядок предоставления форм муниципальной поддержки развития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партнерства, предусмотренных настоящей статьей, устанавливаются в соответствии с федеральным законодательством и нормативными правовыми актами органов местного самоуправления городского округа "Город Кызыл Республики Тыва".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540"/>
        <w:jc w:val="both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 xml:space="preserve">Статья 9. Порядок заключения соглашения о </w:t>
      </w:r>
      <w:proofErr w:type="spellStart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муниципально</w:t>
      </w:r>
      <w:proofErr w:type="spellEnd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-частном партнерстве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Предложения от юридических лиц, индивидуальных предпринимателей, физических лиц, объединений юридических лиц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 (далее - предложение) направляются в мэрию города Кызыла.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Предложение должно содержать следующую информацию: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объект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цели и задачи реализации проекта;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технико-экономические показатели объекта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сроки создания и (или) реконструкции объекта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срок действия соглашения или порядок его определения;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гарантии качества объекта соглашения, предоставляемые частным партнером;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объемы финансирования, перечень муниципального имущества, подлежащего предоставлению в целях исполнения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объем денежных средств и имущество частного партнера, подлежащих привлечению для исполнения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распределение рисков между сторонами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гарантии исполнения частным партнером своих обязательств по соглашению;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права и обязанности сторон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ответственность сторон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гарантии прав сторон соглашения при его заключении и исполнении, в том числе гарантии возмещения убытков, понесенных частным партнером в соответствии с гражданским законодательством, в случае, если в результате незаконных действий (бездействия) мэрии города Кызыла частный партнер понес убытки;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порядок внесения изменений в соглашение и прекращение действия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порядок разрешения споров.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3. В срок, не превышающий 90 (девяноста) дней со дня поступления указанного предложения, публичный партнер обязан рассмотреть такое предложение в установленном порядке, принять одно из следующих решений: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о направлении предложения о реализации проекта на рассмотрение в уполномоченный орган в целях оценки эффективности и определения его сравнительного преимущества;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о невозможности реализации проекта.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295"/>
      </w:tblGrid>
      <w:tr w:rsidR="000C3D85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392C69"/>
                <w:sz w:val="20"/>
                <w:szCs w:val="20"/>
              </w:rPr>
              <w:t>КонсультантПлюс</w:t>
            </w:r>
            <w:proofErr w:type="spellEnd"/>
            <w:r>
              <w:rPr>
                <w:rFonts w:ascii="Arial" w:hAnsi="Arial" w:cs="Arial"/>
                <w:color w:val="392C69"/>
                <w:sz w:val="20"/>
                <w:szCs w:val="20"/>
              </w:rPr>
              <w:t>: примечание.</w:t>
            </w:r>
          </w:p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>Нумерация пунктов дана в соответствии с официальным текстом документа.</w:t>
            </w:r>
          </w:p>
        </w:tc>
      </w:tr>
    </w:tbl>
    <w:p w:rsidR="000C3D85" w:rsidRDefault="000C3D85" w:rsidP="000C3D85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Условия соглашения определяются сторонами соглашения при его заключении.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Мэрия города Кызыла организует проведение экономическо-правовой экспертизы предложения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партнерстве, на основании ее результатов выносит мотивированное решение, содержащее одобрение предложения либо его отклонение. Решение направляется заявителю в срок, не превышающий десяти дней со дня принятия такого решения. Данное решение, предложение о реализации проекта и протоколы переговоров размещаются на официальном сайте публичного партнера в информационно-телекоммуникационной сети "Интернет".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Контроль за исполнением частным партнером условий соглашения осуществляется мэрией города Кызыла.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Реестр соглашений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 ведется мэрией города Кызыла.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540"/>
        <w:jc w:val="both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 xml:space="preserve">Статья 10. Полномочия мэрии города Кызыла в сфере </w:t>
      </w:r>
      <w:proofErr w:type="spellStart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муниципально</w:t>
      </w:r>
      <w:proofErr w:type="spellEnd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-частного партнерства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Мэрия города Кызыла в сфере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партнерства: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принимает нормативные и правовые акты, регулирующие отношения в сфере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принимает целевые программы с использованием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-частного партнерства;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в пределах своей компетенции принимает решения об использовании находящегося в муниципальной собственности имущества в рамках заключенных соглашений;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4) ежегодно представляет в Хурал представителей города Кызыла информацию о заключенных мэрией города Кызыла соглашениях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осуществляет иные полномочия, предусмотренные действующими федеральным, региональным законодательствами и нормативными правовыми актами органов местного самоуправления городского округа "Город Кызыл Республики Тыва".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ind w:firstLine="540"/>
        <w:jc w:val="both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 xml:space="preserve">Статья 11. Соглашение о </w:t>
      </w:r>
      <w:proofErr w:type="spellStart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муниципально</w:t>
      </w:r>
      <w:proofErr w:type="spellEnd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-частном партнерстве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Соглашение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 заключается в письменной форме и должно содержать следующую информацию: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предмет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объект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право собственности на объект соглашения, распределение долей городского округа "Город Кызыл Республики Тыва" и частного партнера в праве собственности на объект соглашения и момент возникновения такого права;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порядок и этапы выполнения соглашения городским округом "Город Кызыл Республики Тыва" и частным партнером;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перечень находящихся в собственности городского округа "Город Кызыл Республики Тыва" земельных участков, иных объектов движимого и недвижимого имущества, а также прав, предоставляемых частному партнеру для выполнения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порядок предоставления частному партнеру земельных участков, иных объектов движимого и недвижимого имущества;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случаи одностороннего отказа от исполнения соглашения, в том числе отстранение частного партнера либо иных лиц от участия в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 в случае существенного нарушения частным партнером условий соглашения или при наступлении иных обстоятельств, указанных в соглашении;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ответственность за неисполнение (ненадлежащее исполнение) условий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срок действия соглашения и (или) порядок его определения;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порядок расчетов между сторонами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порядок осуществления контроля за исполнением соглашения;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способы обеспечения исполнения обязательств сторонами соглашения.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Заключаемые соглашения могут быть заключены на срок, превышающий срок действия утвержденных получателю средств местного бюджета лимитов бюджетных обязательств, на основании решений о реализации проекта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 xml:space="preserve">-частного партнерства, принимаемых в соответствии с законодательством Российской Федерации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партнерстве, в рамках муниципальных программ на срок и в пределах средств, которые предусмотрены соответствующими мероприятиями указанных программ.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В случае если предполагаемый срок действия соглашения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 xml:space="preserve">-частном партнерстве, заключаемого в рамках муниципальной программы городского округа "Город Кызыл Республики Тыва" в соответствии с настоящим пунктом, превышает срок реализации указанной программы, такое соглашение может быть заключено на основании решения мэрии о реализации проекта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 xml:space="preserve">-частного партнерства, принимаемого в соответствии с законодательством Российской Федерации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партнерстве, на срок и в пределах средств, которые предусмотрены указанным решением.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Отношения, возникающие в связи с подготовкой, заключением, исполнением и прекращением концессионных соглашений, с установлением гарантий прав и законных интересов сторон концессионного соглашения, регулируются Федеральным </w:t>
      </w:r>
      <w:hyperlink r:id="rId9" w:history="1">
        <w:r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>
        <w:rPr>
          <w:rFonts w:ascii="Arial" w:hAnsi="Arial" w:cs="Arial"/>
          <w:sz w:val="20"/>
          <w:szCs w:val="20"/>
        </w:rPr>
        <w:t xml:space="preserve"> от 21 июля 2005 года N 115-ФЗ "О концессионных согла</w:t>
      </w:r>
      <w:r>
        <w:rPr>
          <w:rFonts w:ascii="Arial" w:hAnsi="Arial" w:cs="Arial"/>
          <w:sz w:val="20"/>
          <w:szCs w:val="20"/>
        </w:rPr>
        <w:t>шениях".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2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решению Хурала представителей г. Кызыла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17 апреля 2019 г. N 33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bookmarkStart w:id="6" w:name="Par183"/>
      <w:bookmarkEnd w:id="6"/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ПОРЯДОК</w:t>
      </w: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ФОРМИРОВАНИЯ И ВЕДЕНИЯ РЕЕСТРА СОГЛАШЕНИЙ</w:t>
      </w: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О МУНИЦИПАЛЬНО-ЧАСТНОМ ПАРТНЕРСТВЕ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1. Общие положения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Настоящий Порядок устанавливает процедуру формирования, ведения и внесения изменений в Реестр соглашений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 (далее - Реестр).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b/>
          <w:bCs/>
          <w:color w:val="auto"/>
          <w:sz w:val="20"/>
          <w:szCs w:val="20"/>
        </w:rPr>
      </w:pPr>
      <w:r>
        <w:rPr>
          <w:rFonts w:ascii="Arial" w:eastAsiaTheme="minorHAnsi" w:hAnsi="Arial" w:cs="Arial"/>
          <w:b/>
          <w:bCs/>
          <w:color w:val="auto"/>
          <w:sz w:val="20"/>
          <w:szCs w:val="20"/>
        </w:rPr>
        <w:t>2. Порядок ведения Реестра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Реестр представляет собой свод информации о заключенных соглашениях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 (далее соглашение).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Реестр включает в себя совокупность реестровых дел на бумажных носителях и информационные ресурсы Реестра на электронных носителях.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4. Ведение Реестра на бумажных носителях осуществляется путем формирования реестровых дел.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Ведение Реестра на электронных носителях осуществляется путем внесения записей в электронную базу данных Реестра.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В реестровое дело включаются документы на бумажных носителях, информация из которых внесена в Реестр.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 Каждому реестровому делу присваивается порядковый номер, который указывается на его титульном листе.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Записи на электронном носителе должны соответствовать записям на бумажном носителе. При несоответствии записей на бумажном носителе записям на электронных носителях приоритетной считается информация, содержащаяся на бумажных носителях.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9. </w:t>
      </w:r>
      <w:hyperlink w:anchor="Par214" w:history="1">
        <w:r>
          <w:rPr>
            <w:rFonts w:ascii="Arial" w:hAnsi="Arial" w:cs="Arial"/>
            <w:color w:val="0000FF"/>
            <w:sz w:val="20"/>
            <w:szCs w:val="20"/>
          </w:rPr>
          <w:t>Реестр</w:t>
        </w:r>
      </w:hyperlink>
      <w:r>
        <w:rPr>
          <w:rFonts w:ascii="Arial" w:hAnsi="Arial" w:cs="Arial"/>
          <w:sz w:val="20"/>
          <w:szCs w:val="20"/>
        </w:rPr>
        <w:t xml:space="preserve"> содержит по каждому заключенному соглашению информацию по форме согласно приложению к настоящему Порядку.</w:t>
      </w:r>
    </w:p>
    <w:p w:rsidR="000C3D85" w:rsidRDefault="000C3D85" w:rsidP="000C3D8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 Реестр размещается на официальном сайте мэрии города Кызыла и обновляется в течение пяти дней со дня внесения в Реестр соответствующих изменений.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Порядку формирования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и ведения Реестра соглашений о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Форма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7" w:name="Par214"/>
      <w:bookmarkEnd w:id="7"/>
      <w:r>
        <w:rPr>
          <w:rFonts w:ascii="Arial" w:hAnsi="Arial" w:cs="Arial"/>
          <w:sz w:val="20"/>
          <w:szCs w:val="20"/>
        </w:rPr>
        <w:t>Реестр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соглашений о </w:t>
      </w:r>
      <w:proofErr w:type="spellStart"/>
      <w:r>
        <w:rPr>
          <w:rFonts w:ascii="Arial" w:hAnsi="Arial" w:cs="Arial"/>
          <w:sz w:val="20"/>
          <w:szCs w:val="20"/>
        </w:rPr>
        <w:t>муниципально</w:t>
      </w:r>
      <w:proofErr w:type="spellEnd"/>
      <w:r>
        <w:rPr>
          <w:rFonts w:ascii="Arial" w:hAnsi="Arial" w:cs="Arial"/>
          <w:sz w:val="20"/>
          <w:szCs w:val="20"/>
        </w:rPr>
        <w:t>-частном партнерстве</w:t>
      </w:r>
    </w:p>
    <w:p w:rsidR="000C3D85" w:rsidRDefault="000C3D85" w:rsidP="000C3D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474"/>
        <w:gridCol w:w="907"/>
        <w:gridCol w:w="2154"/>
        <w:gridCol w:w="1474"/>
        <w:gridCol w:w="1474"/>
        <w:gridCol w:w="1644"/>
      </w:tblGrid>
      <w:tr w:rsidR="000C3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 п/п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Сведения о сторонах соглашения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ОГРН/ИНН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Регистрационный номер, дата заключения и срок действия соглашения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Состав и описание объекта соглашения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Сведения о форме и условиях участия в соглашении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Реквизиты решения о внесении изменений, расторжении и исполнении соглашения</w:t>
            </w:r>
          </w:p>
        </w:tc>
      </w:tr>
      <w:tr w:rsidR="000C3D8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D85" w:rsidRDefault="000C3D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9775A" w:rsidRDefault="0059775A"/>
    <w:sectPr w:rsidR="00597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946"/>
    <w:rsid w:val="000C3D85"/>
    <w:rsid w:val="00241946"/>
    <w:rsid w:val="0059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55AB0"/>
  <w15:chartTrackingRefBased/>
  <w15:docId w15:val="{FE521CFA-929F-4E03-9333-4C7B4A2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6ED730651E70433571C58C1B739C99755DFFBEAC5BA3283033B3E9582ED2D549C6ECF7B02D508740B51F6C47wDdF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06ED730651E70433571C58C1B739C99755DFFBEAC57A3283033B3E9582ED2D549C6ECF7B02D508740B51F6C47wDdF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06ED730651E70433571C58C1B739C99755FFFB0AF50A3283033B3E9582ED2D549C6ECF7B02D508740B51F6C47wDdF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106ED730651E70433571DB810D1FC6977254A2BBA95AAD7B656CE8B40F27D8821C89EDB9F6224F8744A914644D82EC7198A6994D43E7BCCB7439FBwCdFF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106ED730651E70433571C58C1B739C99755FFFB0AF50A3283033B3E9582ED2D55BC6B4FBB22F4D8641A0493D0283B037CFB59B4A43E5B9D4w7dFF" TargetMode="External"/><Relationship Id="rId9" Type="http://schemas.openxmlformats.org/officeDocument/2006/relationships/hyperlink" Target="consultantplus://offline/ref=106ED730651E70433571C58C1B739C99755EF8BFAA55A3283033B3E9582ED2D549C6ECF7B02D508740B51F6C47wDd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3369</Words>
  <Characters>19208</Characters>
  <Application>Microsoft Office Word</Application>
  <DocSecurity>0</DocSecurity>
  <Lines>160</Lines>
  <Paragraphs>45</Paragraphs>
  <ScaleCrop>false</ScaleCrop>
  <Company/>
  <LinksUpToDate>false</LinksUpToDate>
  <CharactersWithSpaces>22532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2019-05-22T05:30:00Z</dcterms:created>
  <dcterms:modified xsi:type="dcterms:W3CDTF">2019-05-22T05:31:00Z</dcterms:modified>
</cp:coreProperties>
</file>